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juvenile DSR and NRR emigrations. During our initial survey in 2019, Northern Pikeminnow were by far the most prevalent piscine predator in Deadwater Slough and consequently became our focal taxa. Northern Pikeminnow were surveyed near the peaks of the fall DSR and spring NRR emigrations.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Fall surveys occurred over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w:t>
      </w:r>
      <w:r>
        <w:t xml:space="preserve"> </w:t>
      </w:r>
      <w:r>
        <w:t xml:space="preserve">After evaluating all methods, angling was the most effective method for capturing Northern Pikeminnow while also minimizing potential impacts to ESA-listed adult steelhead that were present in the Salmon River during our surveys.</w:t>
      </w:r>
      <w:r>
        <w:t xml:space="preserve"> </w:t>
      </w:r>
      <w:r>
        <w:t xml:space="preserve">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number of Northern Pikeminnow caught per angler hour.</w:t>
      </w:r>
    </w:p>
    <w:p>
      <w:pPr>
        <w:pStyle w:val="BodyText"/>
      </w:pPr>
      <w:r>
        <w:t xml:space="preserve">Two types of mark-recapture estimators were used to explore variation in abundance estimates: a single census and a multiple census estimator. Estimators fell into two broad categories: single census and multiple census. For the single census estimator, we treated the first week of the survey as the mark event and the following week as the recapture event, pooling data within each event week. Alternatively, the multiple census estimator treated each day as an event and use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locales, marked fish may have been less susceptible to capture. To account for this potential bias, we adjusted the Schnabel estimator with an assumption that marked and released fish during each survey day were not available for recapture for 48 hours.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average abundance from the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or were categorized as unknown</w:t>
      </w:r>
      <w:r>
        <w:t xml:space="preserve"> </w:t>
      </w:r>
      <w:r>
        <w:t xml:space="preserve">(Hansel et al. 1988; Frost 2000)</w:t>
      </w:r>
      <w:r>
        <w:t xml:space="preserve">.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were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(n.d.)</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Washingto (n.d.)</w:t>
      </w:r>
      <w:r>
        <w:t xml:space="preserve">) that suggest fish are the majority of Northern Pikeminnow prey. 14 models were run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 during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Columbia River reservoirs, and in the lower Snake River, respectively</w:t>
      </w:r>
      <w:r>
        <w:t xml:space="preserve"> </w:t>
      </w:r>
      <w:r>
        <w:t xml:space="preserve">(Zimmerman and Ward 1999)</w:t>
      </w:r>
      <w:r>
        <w:t xml:space="preserve">. Because the bioenergetics model does not differentiate juvenile Chinook Salmn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t>
      </w:r>
      <w:r>
        <w:t xml:space="preserve">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(Figure</w:t>
      </w:r>
      <w:r>
        <w:t xml:space="preserve"> </w:t>
      </w:r>
      <w:r>
        <w:t xml:space="preserve">??</w:t>
      </w:r>
      <w:r>
        <w:t xml:space="preserve">).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).For both estimates, the multiple census estimates were larger than the single census estimates and small numbers of recaptures resulted in wide confidence intervals (</w:t>
      </w:r>
      <w:r>
        <w:rPr>
          <w:iCs/>
          <w:i/>
          <w:bCs/>
          <w:b/>
        </w:rPr>
        <w:t xml:space="preserve">figure reference</w:t>
      </w:r>
      <w:r>
        <w:t xml:space="preserve">). Because our sampling design most closely matched a multiple census estimator and required a small sample size modification, the Schnabel estimator was determined to provide the best estimates of abundance. Accordingly, the mean Northern Pikeminnow abundance for the two fall sampling events was 27,874 (95% CI: 14,244 - 59,388).</w:t>
      </w:r>
      <w:r>
        <w:t xml:space="preserve"> </w:t>
      </w:r>
      <w:r>
        <w:t xml:space="preserve">For spring 2021, we estimated abundance by multiplying the mean fall abundance by the ratio between the spring CPUE and mean of the fall CPUEs (0.53), resulting in an estimate of 14,799 (95% CI: 7,562 - 31,530) Northern Pikeminnow in Deadwater Slough. Those estimates translate to linear densities of</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Northern Pikeminnow per RKM.</w:t>
      </w:r>
    </w:p>
    <w:p>
      <w:pPr>
        <w:pStyle w:val="BodyText"/>
      </w:pPr>
      <w:r>
        <w:t xml:space="preserve">The lengths of Northern Pikeminnow captured ranged from</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mm with an average length of</w:t>
      </w:r>
      <w:r>
        <w:t xml:space="preserve"> </w:t>
      </w:r>
      <w:r>
        <w:rPr>
          <w:iCs/>
          <w:i/>
          <w:bCs/>
          <w:b/>
        </w:rPr>
        <w:t xml:space="preserve">value</w:t>
      </w:r>
      <w:r>
        <w:t xml:space="preserve"> </w:t>
      </w:r>
      <w:r>
        <w:t xml:space="preserve">mm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average wet weight of total contents for an individual was 0.98 g (median = 0.25 g; range = 0.01-17.39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X04b4ebf29d646c95e920fe225a058217179fb09"/>
    <w:p>
      <w:pPr>
        <w:pStyle w:val="Heading2"/>
      </w:pPr>
      <w:r>
        <w:t xml:space="preserve">Potential 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Washingto (n.d.)</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2"/>
    <w:bookmarkStart w:id="63"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3"/>
    <w:bookmarkStart w:id="64" w:name="ref-Hartleb1995"/>
    <w:p>
      <w:pPr>
        <w:pStyle w:val="Bibliography"/>
      </w:pPr>
      <w:r>
        <w:t xml:space="preserve">Hartleb, C. F., and J. R. Moring. 1995. An improved gastric lavage device for removing stomach contents from live fish. Fisheries Research 24(3):261–265.</w:t>
      </w:r>
    </w:p>
    <w:bookmarkEnd w:id="64"/>
    <w:bookmarkStart w:id="65"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5"/>
    <w:bookmarkStart w:id="66"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6"/>
    <w:bookmarkStart w:id="67"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7"/>
    <w:bookmarkStart w:id="68"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8"/>
    <w:bookmarkStart w:id="69" w:name="ref-Kamler2001"/>
    <w:p>
      <w:pPr>
        <w:pStyle w:val="Bibliography"/>
      </w:pPr>
      <w:r>
        <w:t xml:space="preserve">Kamler, J. F., and K. L. Pope. 2001. Nonlethal methods of examining fish stomach contents. Reviews in Fisheries Science 9(1):1–11.</w:t>
      </w:r>
    </w:p>
    <w:bookmarkEnd w:id="69"/>
    <w:bookmarkStart w:id="70"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0"/>
    <w:bookmarkStart w:id="71"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1"/>
    <w:bookmarkStart w:id="72"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2"/>
    <w:bookmarkStart w:id="73" w:name="ref-Lewis2019"/>
    <w:p>
      <w:pPr>
        <w:pStyle w:val="Bibliography"/>
      </w:pPr>
      <w:r>
        <w:t xml:space="preserve">Lewis, D. J., S. J. Dundas, D. M. Kling, D. K. Lew, and S. D. Hacker. 2019. The non-market benefits of early and partial gains in managing threatened salmon. PLOS ONE 14(8):e0220260.</w:t>
      </w:r>
    </w:p>
    <w:bookmarkEnd w:id="73"/>
    <w:bookmarkStart w:id="74"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4"/>
    <w:bookmarkStart w:id="7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5"/>
    <w:bookmarkStart w:id="76"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6"/>
    <w:bookmarkStart w:id="77"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7"/>
    <w:bookmarkStart w:id="78"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8"/>
    <w:bookmarkStart w:id="79"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9"/>
    <w:bookmarkStart w:id="80" w:name="ref-Parker1995"/>
    <w:p>
      <w:pPr>
        <w:pStyle w:val="Bibliography"/>
      </w:pPr>
      <w:r>
        <w:t xml:space="preserve">Parker, R. M., M. P. Zimmerman, and D. L. Ward. (n.d.).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0"/>
    <w:bookmarkStart w:id="81"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1"/>
    <w:bookmarkStart w:id="82"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2"/>
    <w:bookmarkStart w:id="83"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3"/>
    <w:bookmarkStart w:id="84"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4"/>
    <w:bookmarkStart w:id="85"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5"/>
    <w:bookmarkStart w:id="86"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6"/>
    <w:bookmarkStart w:id="87"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7"/>
    <w:bookmarkStart w:id="88"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8"/>
    <w:bookmarkStart w:id="89"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9"/>
    <w:bookmarkStart w:id="90"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0"/>
    <w:bookmarkStart w:id="91"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1"/>
    <w:bookmarkStart w:id="92" w:name="ref-Gray2001"/>
    <w:p>
      <w:pPr>
        <w:pStyle w:val="Bibliography"/>
      </w:pPr>
      <w:r>
        <w:t xml:space="preserve">Washingto, T. R. (n.d.).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:15.</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2022-01-31 19:00:00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[2d59176] 2022-01-31: added some citations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2022-02-01T02:00:02Z</dcterms:created>
  <dcterms:modified xsi:type="dcterms:W3CDTF">2022-02-01T02:00:02Z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